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8A" w:rsidRDefault="0059388A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3"/>
        <w:gridCol w:w="1323"/>
        <w:gridCol w:w="2001"/>
        <w:gridCol w:w="5146"/>
        <w:gridCol w:w="4891"/>
      </w:tblGrid>
      <w:tr w:rsidR="002404B1" w:rsidTr="00600D3F">
        <w:trPr>
          <w:trHeight w:val="1133"/>
        </w:trPr>
        <w:tc>
          <w:tcPr>
            <w:tcW w:w="13994" w:type="dxa"/>
            <w:gridSpan w:val="5"/>
            <w:vAlign w:val="center"/>
          </w:tcPr>
          <w:p w:rsidR="002404B1" w:rsidRPr="00CF4E33" w:rsidRDefault="00B9129E" w:rsidP="005938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="00B52F6E" w:rsidRPr="00B52F6E">
              <w:rPr>
                <w:b/>
                <w:sz w:val="28"/>
                <w:szCs w:val="28"/>
              </w:rPr>
              <w:t>rojekt rozporządzenia Ministra Cyfryzacji w sprawie rodzaju i zakresu danych udostępnianych z centralnej ewidencji poj</w:t>
            </w:r>
            <w:r w:rsidR="001A070E">
              <w:rPr>
                <w:b/>
                <w:sz w:val="28"/>
                <w:szCs w:val="28"/>
              </w:rPr>
              <w:t xml:space="preserve">azdów (MC 142) art. 80 </w:t>
            </w:r>
            <w:proofErr w:type="spellStart"/>
            <w:r w:rsidR="001A070E">
              <w:rPr>
                <w:b/>
                <w:sz w:val="28"/>
                <w:szCs w:val="28"/>
              </w:rPr>
              <w:t>cf</w:t>
            </w:r>
            <w:proofErr w:type="spellEnd"/>
            <w:r w:rsidR="001A070E">
              <w:rPr>
                <w:b/>
                <w:sz w:val="28"/>
                <w:szCs w:val="28"/>
              </w:rPr>
              <w:t xml:space="preserve"> ust. 2</w:t>
            </w:r>
          </w:p>
        </w:tc>
      </w:tr>
      <w:tr w:rsidR="002404B1" w:rsidRPr="00CF4E33" w:rsidTr="002404B1">
        <w:tc>
          <w:tcPr>
            <w:tcW w:w="633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L. p.</w:t>
            </w:r>
          </w:p>
        </w:tc>
        <w:tc>
          <w:tcPr>
            <w:tcW w:w="1323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2001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146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4891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2404B1" w:rsidTr="002404B1">
        <w:tc>
          <w:tcPr>
            <w:tcW w:w="633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:rsidR="002404B1" w:rsidRDefault="00DE2762">
            <w:r>
              <w:t>§ 4</w:t>
            </w:r>
          </w:p>
        </w:tc>
        <w:tc>
          <w:tcPr>
            <w:tcW w:w="2001" w:type="dxa"/>
          </w:tcPr>
          <w:p w:rsidR="002404B1" w:rsidRDefault="003F63F3">
            <w:r>
              <w:t>RCL</w:t>
            </w:r>
          </w:p>
        </w:tc>
        <w:tc>
          <w:tcPr>
            <w:tcW w:w="5146" w:type="dxa"/>
          </w:tcPr>
          <w:p w:rsidR="00DE2762" w:rsidRDefault="00DE2762" w:rsidP="00DE2762">
            <w:r>
              <w:t>w zakresie § 4 wyjaśnienia wymaga odesłanie do art. 80b ust. 1 pkt 16 ustawy dotyczącego</w:t>
            </w:r>
          </w:p>
          <w:p w:rsidR="00DE2762" w:rsidRDefault="00DE2762" w:rsidP="00DE2762">
            <w:r>
              <w:t>daty i przyczyny wyrejestrowania pojazdu. Ustawa wskazuje w tym punkcie jedynie na dane</w:t>
            </w:r>
          </w:p>
          <w:p w:rsidR="00DE2762" w:rsidRDefault="00DE2762" w:rsidP="00DE2762">
            <w:r>
              <w:t>„o demontażu pojazdu lub przyjęciu niekompletnego pojazdu”, zaś w szczegółowym katalogu</w:t>
            </w:r>
          </w:p>
          <w:p w:rsidR="00DE2762" w:rsidRDefault="00DE2762" w:rsidP="00DE2762">
            <w:r>
              <w:t>danych określonych w § 2 pkt 15 obowiązującego rozporządzeniu Ministra Cyfryzacji z dnia</w:t>
            </w:r>
          </w:p>
          <w:p w:rsidR="00DE2762" w:rsidRDefault="00DE2762" w:rsidP="00DE2762">
            <w:r>
              <w:t>8 lipca 2019 r. w sprawie katalogu danych gromadzonych w centralnej ewidencji pojazdów</w:t>
            </w:r>
          </w:p>
          <w:p w:rsidR="00DE2762" w:rsidRDefault="00DE2762" w:rsidP="00DE2762">
            <w:r>
              <w:t>(Dz. U. z 2019 r. poz. 1274) odnoszącego się do tego zakresu, o którym mowa w art. 80b ust.</w:t>
            </w:r>
          </w:p>
          <w:p w:rsidR="002404B1" w:rsidRDefault="00DE2762" w:rsidP="00DE2762">
            <w:r>
              <w:t>1 pkt 16 ustawy – brak jest takiej danej;</w:t>
            </w:r>
          </w:p>
        </w:tc>
        <w:tc>
          <w:tcPr>
            <w:tcW w:w="4891" w:type="dxa"/>
          </w:tcPr>
          <w:p w:rsidR="005223BE" w:rsidRDefault="001A0A6E">
            <w:r>
              <w:t>Uwaga n</w:t>
            </w:r>
            <w:r w:rsidR="005223BE">
              <w:t>ieuwzględniona</w:t>
            </w:r>
            <w:r>
              <w:t>.</w:t>
            </w:r>
          </w:p>
          <w:p w:rsidR="002404B1" w:rsidRDefault="0039559D">
            <w:r>
              <w:rPr>
                <w:rFonts w:ascii="Calibri" w:hAnsi="Calibri" w:cs="Calibri"/>
              </w:rPr>
              <w:t xml:space="preserve">Wyjaśniam, </w:t>
            </w:r>
            <w:r w:rsidRPr="00567DCD">
              <w:rPr>
                <w:rFonts w:ascii="Calibri" w:hAnsi="Calibri" w:cs="Calibri"/>
              </w:rPr>
              <w:t xml:space="preserve">że </w:t>
            </w:r>
            <w:r>
              <w:rPr>
                <w:rFonts w:ascii="Calibri" w:hAnsi="Calibri" w:cs="Calibri"/>
              </w:rPr>
              <w:t xml:space="preserve">wskazanie zakresu przekazywanych danych dotyczy </w:t>
            </w:r>
            <w:r w:rsidRPr="00567DCD">
              <w:rPr>
                <w:rFonts w:ascii="Calibri" w:hAnsi="Calibri" w:cs="Calibri"/>
              </w:rPr>
              <w:t xml:space="preserve">pkt 17, który zgodnie z ustawą </w:t>
            </w:r>
            <w:r>
              <w:rPr>
                <w:rFonts w:ascii="Calibri" w:hAnsi="Calibri" w:cs="Calibri"/>
              </w:rPr>
              <w:t>z dnia 20 czerwca 1997 r. - Prawo o ruchu drogowym obejmuje dane o</w:t>
            </w:r>
            <w:r w:rsidRPr="00D10FED">
              <w:rPr>
                <w:rFonts w:ascii="Calibri" w:hAnsi="Calibri" w:cs="Calibri"/>
              </w:rPr>
              <w:t xml:space="preserve"> czasowym wycofaniu i ponownym dopuszczeniu do ruchu pojazdu oraz o jego wyrejestrowaniu</w:t>
            </w:r>
            <w:r>
              <w:rPr>
                <w:rFonts w:ascii="Calibri" w:hAnsi="Calibri" w:cs="Calibri"/>
              </w:rPr>
              <w:t>, stąd ograniczenie brzmienia przepisu</w:t>
            </w:r>
            <w:r w:rsidRPr="00567DCD">
              <w:rPr>
                <w:rFonts w:ascii="Calibri" w:hAnsi="Calibri" w:cs="Calibri"/>
              </w:rPr>
              <w:t xml:space="preserve"> do danych dotyczących wyrejestrowania. Nadmieniam</w:t>
            </w:r>
            <w:r>
              <w:rPr>
                <w:rFonts w:ascii="Calibri" w:hAnsi="Calibri" w:cs="Calibri"/>
              </w:rPr>
              <w:t xml:space="preserve"> także, że przepis</w:t>
            </w:r>
            <w:r w:rsidRPr="00567DCD">
              <w:rPr>
                <w:rFonts w:ascii="Calibri" w:hAnsi="Calibri" w:cs="Calibri"/>
              </w:rPr>
              <w:t xml:space="preserve"> §</w:t>
            </w:r>
            <w:r>
              <w:rPr>
                <w:rFonts w:ascii="Calibri" w:hAnsi="Calibri" w:cs="Calibri"/>
              </w:rPr>
              <w:t xml:space="preserve"> 4 nie uległ</w:t>
            </w:r>
            <w:r w:rsidRPr="00567DCD">
              <w:rPr>
                <w:rFonts w:ascii="Calibri" w:hAnsi="Calibri" w:cs="Calibri"/>
              </w:rPr>
              <w:t xml:space="preserve"> zmianie w stosunku d</w:t>
            </w:r>
            <w:r>
              <w:rPr>
                <w:rFonts w:ascii="Calibri" w:hAnsi="Calibri" w:cs="Calibri"/>
              </w:rPr>
              <w:t>o obowiązującego rozporządzenia.</w:t>
            </w:r>
          </w:p>
        </w:tc>
      </w:tr>
      <w:tr w:rsidR="002404B1" w:rsidTr="002404B1">
        <w:tc>
          <w:tcPr>
            <w:tcW w:w="633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:rsidR="002404B1" w:rsidRDefault="00DE2762">
            <w:r>
              <w:t>§ 5</w:t>
            </w:r>
          </w:p>
        </w:tc>
        <w:tc>
          <w:tcPr>
            <w:tcW w:w="2001" w:type="dxa"/>
          </w:tcPr>
          <w:p w:rsidR="002404B1" w:rsidRDefault="002404B1"/>
        </w:tc>
        <w:tc>
          <w:tcPr>
            <w:tcW w:w="5146" w:type="dxa"/>
          </w:tcPr>
          <w:p w:rsidR="00DE2762" w:rsidRDefault="00DE2762" w:rsidP="00DE2762">
            <w:r>
              <w:t>w zakresie § 5 - ponownej analizy i decyzji projektodawcy wymaga zakres danych</w:t>
            </w:r>
          </w:p>
          <w:p w:rsidR="00DE2762" w:rsidRDefault="00DE2762" w:rsidP="00DE2762">
            <w:r>
              <w:t>udostępnianych ZUS, w kontekście celu tego udostępnienia tj. umożliwienia zabezpieczenia</w:t>
            </w:r>
          </w:p>
          <w:p w:rsidR="00DE2762" w:rsidRDefault="00DE2762" w:rsidP="00DE2762">
            <w:r>
              <w:t>ustawowym prawem zastawu należności z tytułu poboru składek. W tym kontekście</w:t>
            </w:r>
          </w:p>
          <w:p w:rsidR="00DE2762" w:rsidRDefault="00DE2762" w:rsidP="00DE2762">
            <w:r>
              <w:t>wyjaśnienia wymaga czy wyliczenie dotyczące pojemności silnika pojazdu nie wymaga</w:t>
            </w:r>
          </w:p>
          <w:p w:rsidR="00DE2762" w:rsidRDefault="00DE2762" w:rsidP="00DE2762">
            <w:r>
              <w:t>uzupełnienia o daną dotyczące „maksymalnej mocy netto silnika lub silników pojazdu</w:t>
            </w:r>
          </w:p>
          <w:p w:rsidR="00DE2762" w:rsidRDefault="00DE2762" w:rsidP="00DE2762">
            <w:r>
              <w:t>hybrydowego(…)”, o której mowa w § 3 pkt 25 rozporządzenia Ministra Cyfryzacji z dnia 8</w:t>
            </w:r>
          </w:p>
          <w:p w:rsidR="00DE2762" w:rsidRDefault="00DE2762" w:rsidP="00DE2762">
            <w:r>
              <w:lastRenderedPageBreak/>
              <w:t>lipca 2019 r. w sprawie katalogu danych gromadzonych w centralnej ewidencji pojazdów (Dz.</w:t>
            </w:r>
          </w:p>
          <w:p w:rsidR="002404B1" w:rsidRDefault="00DE2762" w:rsidP="00DE2762">
            <w:r>
              <w:t>U. z 2019 r. poz. 1274);</w:t>
            </w:r>
          </w:p>
        </w:tc>
        <w:tc>
          <w:tcPr>
            <w:tcW w:w="4891" w:type="dxa"/>
          </w:tcPr>
          <w:p w:rsidR="005223BE" w:rsidRDefault="001A0A6E" w:rsidP="005223BE">
            <w:r>
              <w:lastRenderedPageBreak/>
              <w:t>Uwaga nie</w:t>
            </w:r>
            <w:r w:rsidR="005223BE">
              <w:t>uwzględniona</w:t>
            </w:r>
            <w:r>
              <w:t>.</w:t>
            </w:r>
          </w:p>
          <w:p w:rsidR="002404B1" w:rsidRDefault="0039559D" w:rsidP="005223BE">
            <w:r>
              <w:rPr>
                <w:rFonts w:ascii="Calibri" w:hAnsi="Calibri" w:cs="Calibri"/>
              </w:rPr>
              <w:t>Z</w:t>
            </w:r>
            <w:r w:rsidRPr="00D81897">
              <w:rPr>
                <w:rFonts w:ascii="Calibri" w:hAnsi="Calibri" w:cs="Calibri"/>
              </w:rPr>
              <w:t>akres danych nie uległ zmianie w stosunku do aktualnie obowiązującego rozporządzenia. Z</w:t>
            </w:r>
            <w:r>
              <w:rPr>
                <w:rFonts w:ascii="Calibri" w:hAnsi="Calibri" w:cs="Calibri"/>
              </w:rPr>
              <w:t xml:space="preserve">akład </w:t>
            </w:r>
            <w:r w:rsidRPr="00D81897">
              <w:rPr>
                <w:rFonts w:ascii="Calibri" w:hAnsi="Calibri" w:cs="Calibri"/>
              </w:rPr>
              <w:t>U</w:t>
            </w:r>
            <w:r>
              <w:rPr>
                <w:rFonts w:ascii="Calibri" w:hAnsi="Calibri" w:cs="Calibri"/>
              </w:rPr>
              <w:t xml:space="preserve">bezpieczeń </w:t>
            </w:r>
            <w:r w:rsidRPr="00D81897">
              <w:rPr>
                <w:rFonts w:ascii="Calibri" w:hAnsi="Calibri" w:cs="Calibri"/>
              </w:rPr>
              <w:t>S</w:t>
            </w:r>
            <w:r>
              <w:rPr>
                <w:rFonts w:ascii="Calibri" w:hAnsi="Calibri" w:cs="Calibri"/>
              </w:rPr>
              <w:t>połecznych</w:t>
            </w:r>
            <w:r w:rsidRPr="00D81897">
              <w:rPr>
                <w:rFonts w:ascii="Calibri" w:hAnsi="Calibri" w:cs="Calibri"/>
              </w:rPr>
              <w:t xml:space="preserve"> potwierdzał zakres danych na etapie roboczych uzgodnień i nie zgł</w:t>
            </w:r>
            <w:r>
              <w:rPr>
                <w:rFonts w:ascii="Calibri" w:hAnsi="Calibri" w:cs="Calibri"/>
              </w:rPr>
              <w:t>aszał uwag na etapie opiniowania projektu rozporządzenia.</w:t>
            </w:r>
          </w:p>
        </w:tc>
      </w:tr>
      <w:tr w:rsidR="002811B9" w:rsidTr="002404B1">
        <w:tc>
          <w:tcPr>
            <w:tcW w:w="633" w:type="dxa"/>
          </w:tcPr>
          <w:p w:rsidR="002811B9" w:rsidRDefault="002811B9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:rsidR="002811B9" w:rsidRPr="00DE2762" w:rsidRDefault="002811B9">
            <w:r w:rsidRPr="002811B9">
              <w:t>§ 9</w:t>
            </w:r>
          </w:p>
        </w:tc>
        <w:tc>
          <w:tcPr>
            <w:tcW w:w="2001" w:type="dxa"/>
          </w:tcPr>
          <w:p w:rsidR="002811B9" w:rsidRDefault="002811B9">
            <w:r>
              <w:t>MI</w:t>
            </w:r>
          </w:p>
        </w:tc>
        <w:tc>
          <w:tcPr>
            <w:tcW w:w="5146" w:type="dxa"/>
          </w:tcPr>
          <w:p w:rsidR="002811B9" w:rsidRDefault="002811B9" w:rsidP="002811B9">
            <w:r>
              <w:t>Zgodnie z przepisami ustawy z dnia 21 grudnia 2000 r. o dozorze technicznym (Dz. U. 2019 r. poz. 667),</w:t>
            </w:r>
          </w:p>
          <w:p w:rsidR="002811B9" w:rsidRDefault="002811B9" w:rsidP="002811B9">
            <w:r>
              <w:t>Dyrektor Transportowego Dozoru Technicznego (TDT) sprawuje dozór techniczny nad urządzeniami, które</w:t>
            </w:r>
          </w:p>
          <w:p w:rsidR="002811B9" w:rsidRDefault="002811B9" w:rsidP="002811B9">
            <w:r>
              <w:t>mogą stwarzać zagrożenie dla życia lub zdrowia ludzkiego oraz mienia i środowiska. Zgodnie z art. 44 w</w:t>
            </w:r>
            <w:r w:rsidR="004B53EC">
              <w:t xml:space="preserve">w. </w:t>
            </w:r>
            <w:r>
              <w:t>ustawy do zakresu działania TDT należy m. in. wykonywanie dozoru tech</w:t>
            </w:r>
            <w:r w:rsidR="004B53EC">
              <w:t xml:space="preserve">nicznego nad zbiornikami, w tym </w:t>
            </w:r>
            <w:r>
              <w:t>cysternami wykorzystywanymi w ruchu drogowym, czy zbiornika</w:t>
            </w:r>
            <w:r w:rsidR="004B53EC">
              <w:t xml:space="preserve">mi na gaz LPG, CNG, LNG, wodór, </w:t>
            </w:r>
            <w:r>
              <w:t>służącymi do zasilania pojazdów, jak również wydawanie świadectw do</w:t>
            </w:r>
            <w:r w:rsidR="004B53EC">
              <w:t xml:space="preserve">puszczenia pojazdów do przewozu </w:t>
            </w:r>
            <w:r>
              <w:t>niektórych materiałów niebezpiecznych.</w:t>
            </w:r>
          </w:p>
          <w:p w:rsidR="002811B9" w:rsidRDefault="002811B9" w:rsidP="002811B9">
            <w:r>
              <w:t>Dodatkowo należy zauważyć, że zgodnie z przepisami ustawy z dnia 20 czerwca 1997 r. – Prawo o ruchu</w:t>
            </w:r>
          </w:p>
          <w:p w:rsidR="002811B9" w:rsidRDefault="002811B9" w:rsidP="002811B9">
            <w:r>
              <w:t xml:space="preserve">drogowym (Dz.U. 2018 r. poz. 1990, z </w:t>
            </w:r>
            <w:proofErr w:type="spellStart"/>
            <w:r>
              <w:t>późn</w:t>
            </w:r>
            <w:proofErr w:type="spellEnd"/>
            <w:r>
              <w:t>. zm.) Dyrektor TDT:</w:t>
            </w:r>
          </w:p>
          <w:p w:rsidR="002811B9" w:rsidRDefault="002811B9" w:rsidP="002811B9">
            <w:r>
              <w:t>- jest właściwą władzą homologacyjną, w związku z czym przekazuje informacje do katalogu typów i marek</w:t>
            </w:r>
          </w:p>
          <w:p w:rsidR="002811B9" w:rsidRDefault="002811B9" w:rsidP="002811B9">
            <w:r>
              <w:t>prowadzonego przez Instytut Transportu Samochodowego,</w:t>
            </w:r>
          </w:p>
          <w:p w:rsidR="002811B9" w:rsidRDefault="002811B9" w:rsidP="002811B9">
            <w:r>
              <w:t>- wydaje za opłatą, w drodze decyzji, poświadczenie zgodności wyposażenia i warunków lokalowych, po</w:t>
            </w:r>
          </w:p>
          <w:p w:rsidR="002811B9" w:rsidRDefault="002811B9" w:rsidP="002811B9">
            <w:r>
              <w:t>dokonaniu sprawdzenia stacji kontroli pojazdów,</w:t>
            </w:r>
          </w:p>
          <w:p w:rsidR="002811B9" w:rsidRDefault="002811B9" w:rsidP="002811B9">
            <w:r>
              <w:t>- powołuje komisję, która przeprowadza egzamin kwalifikacyjny osób ubiegających się o uprawnienia</w:t>
            </w:r>
          </w:p>
          <w:p w:rsidR="002811B9" w:rsidRDefault="002811B9" w:rsidP="002811B9">
            <w:r>
              <w:t>diagnostów i diagnostów uzupełniających swoje uprawnienia,</w:t>
            </w:r>
          </w:p>
          <w:p w:rsidR="002811B9" w:rsidRDefault="002811B9" w:rsidP="002811B9">
            <w:r>
              <w:t>- przeprowadza kontrolę stacji kontroli pojazdów na zasadach określonych w porozumieniu zawartym ze</w:t>
            </w:r>
          </w:p>
          <w:p w:rsidR="002811B9" w:rsidRDefault="002811B9" w:rsidP="002811B9">
            <w:r>
              <w:lastRenderedPageBreak/>
              <w:t>starostą, który sprawuje nadzór nad stacjami kontroli pojazdów. W ramach tych czynności m.in. weryfikuje</w:t>
            </w:r>
          </w:p>
          <w:p w:rsidR="002811B9" w:rsidRDefault="002811B9" w:rsidP="002811B9">
            <w:r>
              <w:t>prawidłowość wykonywania przez uprawnionych diagnostów badań technicznych pojazdów, jak również</w:t>
            </w:r>
          </w:p>
          <w:p w:rsidR="002811B9" w:rsidRDefault="002811B9" w:rsidP="002811B9">
            <w:r>
              <w:t>prawidłowość prowadzenia wymaganej dokumentacji.</w:t>
            </w:r>
          </w:p>
          <w:p w:rsidR="002811B9" w:rsidRDefault="002811B9" w:rsidP="002811B9">
            <w:r>
              <w:t>Mając powyższe na uwadze zasadnym wydaje się rozszerzenie zakresu danych udostępnianych</w:t>
            </w:r>
          </w:p>
          <w:p w:rsidR="002811B9" w:rsidRDefault="002811B9" w:rsidP="002811B9">
            <w:r>
              <w:t>Dyrektorowi TDT z centralnej ewidencji pojazdów, m.in. o dane udostępniane stacjom kontroli pojazdów.</w:t>
            </w:r>
          </w:p>
          <w:p w:rsidR="002811B9" w:rsidRDefault="002811B9" w:rsidP="002811B9">
            <w:r>
              <w:t>W związku z powyższym proponuję następujące brzmienie § 9 projektowanego rozporządzenia:</w:t>
            </w:r>
          </w:p>
          <w:p w:rsidR="002811B9" w:rsidRDefault="002811B9" w:rsidP="002811B9">
            <w:r>
              <w:t xml:space="preserve">„§ 9. Dyrektorowi Transportowego Dozoru Technicznego udostępnia się </w:t>
            </w:r>
            <w:r w:rsidR="004B53EC">
              <w:t xml:space="preserve">dane, o których mowa w art. 80b </w:t>
            </w:r>
            <w:r>
              <w:t>ust. 1 pkt 1-5, 8-13, 15-18, 21 i 22 ustawy.”.</w:t>
            </w:r>
          </w:p>
          <w:p w:rsidR="002811B9" w:rsidRDefault="002811B9" w:rsidP="002811B9">
            <w:r>
              <w:t>Należy zauważyć, że Dyrektor TDT, jako podmiot podległy ministrowi właśc</w:t>
            </w:r>
            <w:r w:rsidR="004B53EC">
              <w:t xml:space="preserve">iwemu do spraw transportu, jest </w:t>
            </w:r>
            <w:r>
              <w:t>swoistym gwarantem prawidłowego wykorzystania danych udostępnionych z centralnej ewidencji pojazdów.</w:t>
            </w:r>
          </w:p>
        </w:tc>
        <w:tc>
          <w:tcPr>
            <w:tcW w:w="4891" w:type="dxa"/>
          </w:tcPr>
          <w:p w:rsidR="002811B9" w:rsidRDefault="001A0A6E">
            <w:r>
              <w:lastRenderedPageBreak/>
              <w:t>Uwaga n</w:t>
            </w:r>
            <w:r w:rsidR="00EB38B5">
              <w:t>ieuwzględniona</w:t>
            </w:r>
            <w:r>
              <w:t>.</w:t>
            </w:r>
          </w:p>
          <w:p w:rsidR="00EB38B5" w:rsidRDefault="00EB38B5" w:rsidP="00EB38B5">
            <w:r>
              <w:t xml:space="preserve">Uprzejmie wyjaśniam, iż aktualne zadania ustawowe Dyrektora Transportowego Dozoru Technicznego nie wymagają rozszerzenia zakresu danych udostępnianych z centralnej ewidencji pojazdów. </w:t>
            </w:r>
          </w:p>
          <w:p w:rsidR="00EB38B5" w:rsidRDefault="00EB38B5" w:rsidP="00A76BE1">
            <w:r>
              <w:t>Aktualnie określony dla TDT zakres danych odpowiada zadaniom wskazanym w ustawie. TDT uprawnione jest do pozyskiwania danych o dokumentach pojazdu</w:t>
            </w:r>
            <w:r w:rsidR="00A76BE1">
              <w:t xml:space="preserve">, o badaniach technicznych, o homologacji a także danych technicznych o pojeździe. Nadmieniam również, że TDT pomimo swoich uprawnień aktualnie nie korzysta z dostępu do danych z CEP ani przez gotową aplikację ani przez interfejs API do udostępniania danych. </w:t>
            </w:r>
          </w:p>
          <w:p w:rsidR="00A76BE1" w:rsidRDefault="00A76BE1" w:rsidP="00A76BE1"/>
          <w:p w:rsidR="00A76BE1" w:rsidRDefault="00A76BE1" w:rsidP="00A76BE1"/>
        </w:tc>
      </w:tr>
      <w:tr w:rsidR="002404B1" w:rsidTr="002404B1">
        <w:tc>
          <w:tcPr>
            <w:tcW w:w="633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:rsidR="002404B1" w:rsidRDefault="00DE2762">
            <w:r w:rsidRPr="00DE2762">
              <w:t>§ 10</w:t>
            </w:r>
          </w:p>
        </w:tc>
        <w:tc>
          <w:tcPr>
            <w:tcW w:w="2001" w:type="dxa"/>
          </w:tcPr>
          <w:p w:rsidR="002404B1" w:rsidRDefault="00DE2762">
            <w:r>
              <w:t>RCL</w:t>
            </w:r>
          </w:p>
        </w:tc>
        <w:tc>
          <w:tcPr>
            <w:tcW w:w="5146" w:type="dxa"/>
          </w:tcPr>
          <w:p w:rsidR="00DE2762" w:rsidRDefault="00DE2762" w:rsidP="00DE2762">
            <w:r>
              <w:t xml:space="preserve">w zakresie § 10 wyjaśnienia wymaga zasadność </w:t>
            </w:r>
            <w:r w:rsidR="004B53EC">
              <w:t xml:space="preserve">użycia spójnika „i” w odesłaniu </w:t>
            </w:r>
            <w:r>
              <w:t>do art. 80b ust. 1 pkt 14 i 17 ustawy – „w zakresie wyrejestro</w:t>
            </w:r>
            <w:r w:rsidR="004B53EC">
              <w:t xml:space="preserve">wania pojazdu”. Art. 80b ust. 1 </w:t>
            </w:r>
            <w:r>
              <w:t>pkt 14 odnosi się do danych dotyczących kradzieży pojazdu. W szczegółowym katalogu</w:t>
            </w:r>
          </w:p>
          <w:p w:rsidR="002404B1" w:rsidRDefault="00DE2762" w:rsidP="00DE2762">
            <w:r>
              <w:t>danych, o których mowa w art. 80b ust. 1 pkt 14 określo</w:t>
            </w:r>
            <w:r w:rsidR="004B53EC">
              <w:t xml:space="preserve">nym w § 2 pkt 12 rozporządzeniu </w:t>
            </w:r>
            <w:r>
              <w:t>Ministra Cyfryzacji z dnia 8 lipca 2019 r. w spraw</w:t>
            </w:r>
            <w:r w:rsidR="004B53EC">
              <w:t xml:space="preserve">ie katalogu danych gromadzonych </w:t>
            </w:r>
            <w:r>
              <w:t>w centralnej ewidencji pojazdów nie zostały wymienione dane dotyczące wyrejestrowania</w:t>
            </w:r>
            <w:r w:rsidR="004B53EC">
              <w:t xml:space="preserve"> </w:t>
            </w:r>
            <w:r>
              <w:t>pojazdu. Jeżeli zakres ograniczenia udostępnienia tych danych</w:t>
            </w:r>
            <w:r w:rsidR="004B53EC">
              <w:t xml:space="preserve"> ma się odnosić jedynie do art. </w:t>
            </w:r>
            <w:r>
              <w:t>17 – spójnik „i” należy zamienić na przecinek;</w:t>
            </w:r>
          </w:p>
        </w:tc>
        <w:tc>
          <w:tcPr>
            <w:tcW w:w="4891" w:type="dxa"/>
          </w:tcPr>
          <w:p w:rsidR="002404B1" w:rsidRDefault="00B65635">
            <w:r>
              <w:t>Uwaga uwzględniona poprzez zmianę spójnika „i” na przecinek.</w:t>
            </w:r>
          </w:p>
        </w:tc>
      </w:tr>
      <w:tr w:rsidR="002404B1" w:rsidTr="002404B1">
        <w:tc>
          <w:tcPr>
            <w:tcW w:w="633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:rsidR="002404B1" w:rsidRDefault="00DE2762">
            <w:r w:rsidRPr="00DE2762">
              <w:t>§ 18</w:t>
            </w:r>
          </w:p>
        </w:tc>
        <w:tc>
          <w:tcPr>
            <w:tcW w:w="2001" w:type="dxa"/>
          </w:tcPr>
          <w:p w:rsidR="002404B1" w:rsidRDefault="00DE2762">
            <w:r>
              <w:t>RCL</w:t>
            </w:r>
          </w:p>
        </w:tc>
        <w:tc>
          <w:tcPr>
            <w:tcW w:w="5146" w:type="dxa"/>
          </w:tcPr>
          <w:p w:rsidR="00DE2762" w:rsidRDefault="00DE2762" w:rsidP="00DE2762">
            <w:r>
              <w:t>w zakresie § 18:</w:t>
            </w:r>
          </w:p>
          <w:p w:rsidR="00DE2762" w:rsidRDefault="00DE2762" w:rsidP="00DE2762">
            <w:r>
              <w:lastRenderedPageBreak/>
              <w:t>a. z uwagi na ustawowe ograniczenie dostępu do danych, o których mowa w art. 80ce</w:t>
            </w:r>
          </w:p>
          <w:p w:rsidR="00DE2762" w:rsidRDefault="00DE2762" w:rsidP="00DE2762">
            <w:r>
              <w:t>ust. 1 ustawy tj. wykluczenie przy ponownym wykorzystaniu tych danych możliwości</w:t>
            </w:r>
          </w:p>
          <w:p w:rsidR="00DE2762" w:rsidRDefault="00DE2762" w:rsidP="00DE2762">
            <w:r>
              <w:t>identyfikacji osób lub pojazdów, wskaz</w:t>
            </w:r>
            <w:r w:rsidR="004B53EC">
              <w:t xml:space="preserve">ane w § 18 ograniczenie zakresu </w:t>
            </w:r>
            <w:r>
              <w:t>udostępnianych danych do „identyfikatora jednostki podziału terytorialnego kraju</w:t>
            </w:r>
          </w:p>
          <w:p w:rsidR="00DE2762" w:rsidRDefault="00DE2762" w:rsidP="00DE2762">
            <w:r>
              <w:t>i nazwy miejscowości z krajowego rejestru urzędowego podziału kraju TERYT oraz</w:t>
            </w:r>
          </w:p>
          <w:p w:rsidR="00DE2762" w:rsidRDefault="00DE2762" w:rsidP="00DE2762">
            <w:r>
              <w:t>numeru identyfikacyjnego REGON” powinno odnosi</w:t>
            </w:r>
            <w:r w:rsidR="004B53EC">
              <w:t xml:space="preserve">ć się do danych, o których mowa </w:t>
            </w:r>
            <w:r>
              <w:t>w art. 80b ust. 1 pkt 2-4 oraz do danych o których mow</w:t>
            </w:r>
            <w:r w:rsidR="004B53EC">
              <w:t xml:space="preserve">a w art. 80b ust. 1 pkt 8a. Tym </w:t>
            </w:r>
            <w:r>
              <w:t>samym w treści § 18 po wyrazach „art. 80b ust. 1 pkt 2-4” powinien być użyty spójnik</w:t>
            </w:r>
          </w:p>
          <w:p w:rsidR="00DE2762" w:rsidRDefault="004B53EC" w:rsidP="00DE2762">
            <w:r>
              <w:t xml:space="preserve">„lub”, </w:t>
            </w:r>
            <w:r w:rsidR="00DE2762">
              <w:t>b. w zakresie danych o obowiązkowym ubezpieczeniu odpowiedzialności cywilnej</w:t>
            </w:r>
          </w:p>
          <w:p w:rsidR="00DE2762" w:rsidRDefault="00DE2762" w:rsidP="00DE2762">
            <w:r>
              <w:t>posiadacza pojazdu, o których mowa w art. 8</w:t>
            </w:r>
            <w:r w:rsidR="004B53EC">
              <w:t xml:space="preserve">0b ust. 1 pkt 6, konieczne jest </w:t>
            </w:r>
            <w:r>
              <w:t>zapewnienie zgodności tej części regulacji z określeniem tej danej użytym w art. 80b</w:t>
            </w:r>
          </w:p>
          <w:p w:rsidR="00DE2762" w:rsidRDefault="00DE2762" w:rsidP="00DE2762">
            <w:r>
              <w:t>ust. 1 ustawy. Zauważyć należy, że w treści § 18 projektu rozporządzenia odwołano</w:t>
            </w:r>
          </w:p>
          <w:p w:rsidR="00DE2762" w:rsidRDefault="00DE2762" w:rsidP="00DE2762">
            <w:r>
              <w:t>się do danych „nazwa, seria i numeru dokumentu potwierdzającego zawarcie umowy</w:t>
            </w:r>
          </w:p>
          <w:p w:rsidR="00DE2762" w:rsidRDefault="00DE2762" w:rsidP="00DE2762">
            <w:r>
              <w:t>cech identyfikujących dokument potwierdzający zawarcie umowy ubezpieczenia”.</w:t>
            </w:r>
          </w:p>
          <w:p w:rsidR="00DE2762" w:rsidRDefault="00DE2762" w:rsidP="00DE2762">
            <w:r>
              <w:t>Pomijając na tym etapie prac, że ta cześć regulacji wymaga poprawy redakcyjnej,</w:t>
            </w:r>
          </w:p>
          <w:p w:rsidR="00DE2762" w:rsidRDefault="00DE2762" w:rsidP="00DE2762">
            <w:r>
              <w:t>cytowana treść przepisu nie znajduje potwierdzenia zarówno w katalogu danych</w:t>
            </w:r>
            <w:r w:rsidR="004B53EC">
              <w:t xml:space="preserve"> </w:t>
            </w:r>
            <w:r>
              <w:t>określonym art. 80b ust. 1 jak i w § 2 pkt 21 rozporządzeniu Ministra Cyfryzacji</w:t>
            </w:r>
          </w:p>
          <w:p w:rsidR="00DE2762" w:rsidRDefault="00DE2762" w:rsidP="00DE2762">
            <w:r>
              <w:t>z dnia 8 lipca 2019 r. w sprawie katalogu danych gromadzonych w centralnej</w:t>
            </w:r>
          </w:p>
          <w:p w:rsidR="00DE2762" w:rsidRDefault="00DE2762" w:rsidP="00DE2762">
            <w:r>
              <w:lastRenderedPageBreak/>
              <w:t>ewidencji pojazdów. Zakres danych udostępnianych powinien być spójny z zakresem</w:t>
            </w:r>
          </w:p>
          <w:p w:rsidR="00DE2762" w:rsidRDefault="00DE2762" w:rsidP="00DE2762">
            <w:r>
              <w:t>danych gromadzonych w centralnej ewidencji pojazdów,</w:t>
            </w:r>
          </w:p>
          <w:p w:rsidR="00DE2762" w:rsidRDefault="00DE2762" w:rsidP="00DE2762">
            <w:r>
              <w:t>c. w zakresie danych, o których mowa w art. 80b ust. 1 pkt 22 ustawy, dotyczących</w:t>
            </w:r>
          </w:p>
          <w:p w:rsidR="00DE2762" w:rsidRDefault="00DE2762" w:rsidP="00DE2762">
            <w:r>
              <w:t>odczytu wskazania drogomierza w § 18 in fine wskazano w formie ograniczenia</w:t>
            </w:r>
          </w:p>
          <w:p w:rsidR="00DE2762" w:rsidRDefault="00DE2762" w:rsidP="00DE2762">
            <w:r>
              <w:t>zakresu udostępnienia - pełny zakres tych danych określony w ustawie. Jeżeli zakres</w:t>
            </w:r>
          </w:p>
          <w:p w:rsidR="00DE2762" w:rsidRDefault="00DE2762" w:rsidP="00DE2762">
            <w:r>
              <w:t>ten miałby być ograniczony należy zachować zgodność pomiędzy niniejszym</w:t>
            </w:r>
          </w:p>
          <w:p w:rsidR="00DE2762" w:rsidRDefault="00DE2762" w:rsidP="00DE2762">
            <w:r>
              <w:t>rozporządzeniem a projektowanym rozporządzeniem w sprawie katalogu danych</w:t>
            </w:r>
          </w:p>
          <w:p w:rsidR="002404B1" w:rsidRDefault="00DE2762" w:rsidP="00DE2762">
            <w:r>
              <w:t>gromadzonych w centralnej ewidencji pojazdów;</w:t>
            </w:r>
          </w:p>
        </w:tc>
        <w:tc>
          <w:tcPr>
            <w:tcW w:w="4891" w:type="dxa"/>
          </w:tcPr>
          <w:p w:rsidR="002404B1" w:rsidRDefault="00B65635" w:rsidP="00F14A58">
            <w:r>
              <w:lastRenderedPageBreak/>
              <w:t>Uwaga uwzględniona.</w:t>
            </w:r>
          </w:p>
          <w:p w:rsidR="00F14A58" w:rsidRPr="00F14A58" w:rsidRDefault="00F14A58" w:rsidP="00F14A58">
            <w:r>
              <w:lastRenderedPageBreak/>
              <w:t xml:space="preserve">W zakresie ograniczenia dotyczącego wymiany drogomierza oraz odczytu drogomierza w czasie kontroli zakłada się udostępnianie danych do ponownego wykorzystania obejmujące </w:t>
            </w:r>
            <w:r w:rsidRPr="00F14A58">
              <w:t xml:space="preserve">wartość odczytu wskazania drogomierza pojazdu wraz z jednostką miary </w:t>
            </w:r>
            <w:r>
              <w:t xml:space="preserve">oraz wynik odczytu – przepis zostanie </w:t>
            </w:r>
            <w:proofErr w:type="spellStart"/>
            <w:r>
              <w:t>uspójniony</w:t>
            </w:r>
            <w:proofErr w:type="spellEnd"/>
            <w:r w:rsidR="00600D3F">
              <w:t xml:space="preserve"> z projektem rozporządzenia w sprawie katalogu danych gromadzonych w centralnej ewidencji pojazdów</w:t>
            </w:r>
            <w:r>
              <w:t>.</w:t>
            </w:r>
          </w:p>
          <w:p w:rsidR="00F14A58" w:rsidRDefault="00F14A58" w:rsidP="00F14A58"/>
        </w:tc>
      </w:tr>
      <w:tr w:rsidR="002404B1" w:rsidTr="002404B1">
        <w:tc>
          <w:tcPr>
            <w:tcW w:w="633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323" w:type="dxa"/>
          </w:tcPr>
          <w:p w:rsidR="002404B1" w:rsidRDefault="002811B9">
            <w:r w:rsidRPr="002811B9">
              <w:t>§ 19</w:t>
            </w:r>
          </w:p>
        </w:tc>
        <w:tc>
          <w:tcPr>
            <w:tcW w:w="2001" w:type="dxa"/>
          </w:tcPr>
          <w:p w:rsidR="002404B1" w:rsidRDefault="002811B9">
            <w:r>
              <w:t>RCL</w:t>
            </w:r>
          </w:p>
        </w:tc>
        <w:tc>
          <w:tcPr>
            <w:tcW w:w="5146" w:type="dxa"/>
          </w:tcPr>
          <w:p w:rsidR="002811B9" w:rsidRDefault="002811B9" w:rsidP="002811B9">
            <w:r>
              <w:t>ponownej analizy i korekty wymaga § 19 rozporządzenia:</w:t>
            </w:r>
          </w:p>
          <w:p w:rsidR="002811B9" w:rsidRDefault="002811B9" w:rsidP="002811B9">
            <w:r>
              <w:t>a. w zakresie ust. 2 – należy zauważyć, że dane, o których mowa w art. 80b ust. 1 pkt 11</w:t>
            </w:r>
          </w:p>
          <w:p w:rsidR="002811B9" w:rsidRDefault="002811B9" w:rsidP="002811B9">
            <w:r>
              <w:t xml:space="preserve">– o szkodzie istotnej, zgodnie z art. 13 ust. 3 ustawy z </w:t>
            </w:r>
            <w:r w:rsidR="004B53EC">
              <w:t xml:space="preserve">dnia 24 lipca 2015 r. o zmianie </w:t>
            </w:r>
            <w:r>
              <w:t xml:space="preserve">ustawy – Prawo o ruchu drogowym (Dz. U. poz. 1273, z </w:t>
            </w:r>
            <w:proofErr w:type="spellStart"/>
            <w:r>
              <w:t>późn</w:t>
            </w:r>
            <w:proofErr w:type="spellEnd"/>
            <w:r>
              <w:t>. zm.</w:t>
            </w:r>
            <w:r w:rsidR="004B53EC">
              <w:t xml:space="preserve">). miały nie być </w:t>
            </w:r>
            <w:r>
              <w:t>wprowadzane do przez zakłady ubezpieczeń do ewidencji pojazdów do</w:t>
            </w:r>
          </w:p>
          <w:p w:rsidR="002811B9" w:rsidRDefault="002811B9" w:rsidP="002811B9">
            <w:r>
              <w:t>czasu wdrożenie rozwiązań technicznych umożliwiających wp</w:t>
            </w:r>
            <w:bookmarkStart w:id="0" w:name="_GoBack"/>
            <w:bookmarkEnd w:id="0"/>
            <w:r>
              <w:t>rowadzanie danych</w:t>
            </w:r>
          </w:p>
          <w:p w:rsidR="002811B9" w:rsidRDefault="002811B9" w:rsidP="002811B9">
            <w:r>
              <w:t>o szkodach istotnych do ewidencji, jednak „nie dłużej niż przez 24 miesiące od dnia</w:t>
            </w:r>
          </w:p>
          <w:p w:rsidR="002811B9" w:rsidRDefault="002811B9" w:rsidP="002811B9">
            <w:r>
              <w:t>wejścia w życie niniejszej ustawy”. Art. 13 ust. 3 w brzmieniu nadanym przez ustawę</w:t>
            </w:r>
          </w:p>
          <w:p w:rsidR="002811B9" w:rsidRDefault="002811B9" w:rsidP="002811B9">
            <w:r>
              <w:t>dnia 15 września 2017 r. o zmianie ustaw</w:t>
            </w:r>
            <w:r w:rsidR="004B53EC">
              <w:t xml:space="preserve">y – Prawo o ruchu drogowym oraz </w:t>
            </w:r>
            <w:r>
              <w:t>niektórych innych ustaw (Dz. U. poz. 1926) wszedł w życie 20 października 2017 r.,</w:t>
            </w:r>
          </w:p>
          <w:p w:rsidR="002811B9" w:rsidRDefault="002811B9" w:rsidP="002811B9">
            <w:r>
              <w:lastRenderedPageBreak/>
              <w:t>a zatem termin, o którym mowa w art. 13 ust. 3</w:t>
            </w:r>
            <w:r w:rsidR="004B53EC">
              <w:t xml:space="preserve">, upłyną w dniu 21 października </w:t>
            </w:r>
            <w:r>
              <w:t>2019 r. Jak się wydaje a contrario, od tego dnia zakła</w:t>
            </w:r>
            <w:r w:rsidR="004B53EC">
              <w:t xml:space="preserve">dy ubezpieczeń są zobowiązane </w:t>
            </w:r>
            <w:r>
              <w:t>wprowadzać dane o szkodach istotnych do centralnej ewidencji pojazdów, co</w:t>
            </w:r>
          </w:p>
          <w:p w:rsidR="002811B9" w:rsidRDefault="002811B9" w:rsidP="002811B9">
            <w:r>
              <w:t>w konsekwencji powoduje, że te dane powinny</w:t>
            </w:r>
            <w:r w:rsidR="004B53EC">
              <w:t xml:space="preserve"> zostać udostępnione pozostałym </w:t>
            </w:r>
            <w:r>
              <w:t>podmiotom uprawnionym,</w:t>
            </w:r>
          </w:p>
          <w:p w:rsidR="00DB7F15" w:rsidRDefault="00DB7F15" w:rsidP="002811B9"/>
          <w:p w:rsidR="002811B9" w:rsidRDefault="002811B9" w:rsidP="002811B9">
            <w:r>
              <w:t xml:space="preserve">b. w zakresie ust. 4 – weryfikacji wymagają odesłania </w:t>
            </w:r>
            <w:r w:rsidR="004B53EC">
              <w:t xml:space="preserve">wewnętrzne, gdyż poza już </w:t>
            </w:r>
            <w:r>
              <w:t>wskazanymi tam paragrafami rozporządzenia, zgodnie</w:t>
            </w:r>
            <w:r w:rsidR="004B53EC">
              <w:t xml:space="preserve"> § 7 i § 8 rozporządzenia także </w:t>
            </w:r>
            <w:r>
              <w:t>zakłady ubezpieczeń i stacje kontroli pojazdów mają udostępnione dane, o których</w:t>
            </w:r>
          </w:p>
          <w:p w:rsidR="002811B9" w:rsidRDefault="002811B9" w:rsidP="002811B9">
            <w:r>
              <w:t>mowa w art. 80b ust. 1 pkt 8b ustawy, zamieszczone w wykazie pojazd</w:t>
            </w:r>
            <w:r w:rsidR="004B53EC">
              <w:t xml:space="preserve">ów używanych </w:t>
            </w:r>
            <w:r>
              <w:t>w ruchu drogowym prowadzonym przez po</w:t>
            </w:r>
            <w:r w:rsidR="004B53EC">
              <w:t xml:space="preserve">dmiot uprawniony, o którym mowa </w:t>
            </w:r>
            <w:r>
              <w:t>w art. 80s ust. 2 ustawy. Ponadto odesłanie do § 18 rozporządzenia nie jest adekwatne,</w:t>
            </w:r>
          </w:p>
          <w:p w:rsidR="002811B9" w:rsidRDefault="002811B9" w:rsidP="002811B9">
            <w:r>
              <w:t>gdyż paragraf ten nie wskazuje na podmioty uprawnione do dostępu do danych, ale na</w:t>
            </w:r>
          </w:p>
          <w:p w:rsidR="002811B9" w:rsidRDefault="002811B9" w:rsidP="002811B9">
            <w:r>
              <w:t>dane udostępniane w celach komercyjnych i niekomercyjnych zgodnie z ustawą z dnia</w:t>
            </w:r>
          </w:p>
          <w:p w:rsidR="002811B9" w:rsidRDefault="002811B9" w:rsidP="002811B9">
            <w:r>
              <w:t>25 lutego 2016 r. o ponownym wykorzystaniu informacji sektora publicznego (Dz. U.</w:t>
            </w:r>
          </w:p>
          <w:p w:rsidR="002404B1" w:rsidRDefault="002811B9" w:rsidP="002811B9">
            <w:r>
              <w:t>z 2019 r. poz. 1446). Przepis w tym zakresie wymaga korekty</w:t>
            </w:r>
            <w:r w:rsidR="004B53EC">
              <w:t>.</w:t>
            </w:r>
          </w:p>
        </w:tc>
        <w:tc>
          <w:tcPr>
            <w:tcW w:w="4891" w:type="dxa"/>
          </w:tcPr>
          <w:p w:rsidR="005D65D7" w:rsidRDefault="005D65D7" w:rsidP="005D65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- ad. lit. b – uwagi zostały uwzględnione. W zakresie weryfikacji odesłań wewnętrznych przepis został uzupełniony o odwołanie do </w:t>
            </w:r>
            <w:r w:rsidRPr="00B255F8">
              <w:rPr>
                <w:rFonts w:ascii="Calibri" w:hAnsi="Calibri" w:cs="Calibri"/>
              </w:rPr>
              <w:t>§</w:t>
            </w:r>
            <w:r>
              <w:rPr>
                <w:rFonts w:ascii="Calibri" w:hAnsi="Calibri" w:cs="Calibri"/>
              </w:rPr>
              <w:t xml:space="preserve"> 7 i 8 projektu rozporządzenia. Jednocześnie odesłanie do  </w:t>
            </w:r>
            <w:r w:rsidRPr="00B255F8">
              <w:rPr>
                <w:rFonts w:ascii="Calibri" w:hAnsi="Calibri" w:cs="Calibri"/>
              </w:rPr>
              <w:t>§</w:t>
            </w:r>
            <w:r>
              <w:rPr>
                <w:rFonts w:ascii="Calibri" w:hAnsi="Calibri" w:cs="Calibri"/>
              </w:rPr>
              <w:t xml:space="preserve"> 18 zostało usunięte jako zbędne.</w:t>
            </w:r>
          </w:p>
          <w:p w:rsidR="005D65D7" w:rsidRDefault="005D65D7" w:rsidP="005D65D7">
            <w:pPr>
              <w:rPr>
                <w:rFonts w:ascii="Calibri" w:hAnsi="Calibri" w:cs="Calibri"/>
              </w:rPr>
            </w:pPr>
          </w:p>
          <w:p w:rsidR="005D65D7" w:rsidRDefault="005D65D7" w:rsidP="005D65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Ponadto uprzejmie informuję, że</w:t>
            </w:r>
            <w:r w:rsidRPr="00853000">
              <w:rPr>
                <w:rFonts w:ascii="Calibri" w:hAnsi="Calibri" w:cs="Calibri"/>
              </w:rPr>
              <w:t xml:space="preserve"> uwagi redakcyjne i legislacyjne</w:t>
            </w:r>
            <w:r>
              <w:rPr>
                <w:rFonts w:ascii="Calibri" w:hAnsi="Calibri" w:cs="Calibri"/>
              </w:rPr>
              <w:t xml:space="preserve"> zgłoszone dodatkowo  w trybie „rejestruj zmiany” zostaną uwzględnione w nowej wersji projektu.</w:t>
            </w:r>
          </w:p>
          <w:p w:rsidR="004A184A" w:rsidRDefault="004A184A" w:rsidP="00082C29"/>
        </w:tc>
      </w:tr>
    </w:tbl>
    <w:p w:rsidR="004F612A" w:rsidRDefault="004F612A"/>
    <w:sectPr w:rsidR="004F612A" w:rsidSect="005938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6E24A6"/>
    <w:multiLevelType w:val="hybridMultilevel"/>
    <w:tmpl w:val="FCCE0D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082C29"/>
    <w:rsid w:val="001445DE"/>
    <w:rsid w:val="001A070E"/>
    <w:rsid w:val="001A0A6E"/>
    <w:rsid w:val="001C0A41"/>
    <w:rsid w:val="001C3950"/>
    <w:rsid w:val="002404B1"/>
    <w:rsid w:val="002811B9"/>
    <w:rsid w:val="00334A84"/>
    <w:rsid w:val="0039559D"/>
    <w:rsid w:val="003F63F3"/>
    <w:rsid w:val="0040340A"/>
    <w:rsid w:val="004A184A"/>
    <w:rsid w:val="004B53EC"/>
    <w:rsid w:val="004F612A"/>
    <w:rsid w:val="005223BE"/>
    <w:rsid w:val="0059388A"/>
    <w:rsid w:val="005D65D7"/>
    <w:rsid w:val="00600D3F"/>
    <w:rsid w:val="007C60F8"/>
    <w:rsid w:val="008A251C"/>
    <w:rsid w:val="00906DF6"/>
    <w:rsid w:val="00943182"/>
    <w:rsid w:val="009A7962"/>
    <w:rsid w:val="00A76BE1"/>
    <w:rsid w:val="00B52F6E"/>
    <w:rsid w:val="00B65635"/>
    <w:rsid w:val="00B81EB1"/>
    <w:rsid w:val="00B9129E"/>
    <w:rsid w:val="00BF36FE"/>
    <w:rsid w:val="00C9796F"/>
    <w:rsid w:val="00CC1E6B"/>
    <w:rsid w:val="00CF4E33"/>
    <w:rsid w:val="00DB7F15"/>
    <w:rsid w:val="00DE2762"/>
    <w:rsid w:val="00E667C3"/>
    <w:rsid w:val="00EB38B5"/>
    <w:rsid w:val="00F14A58"/>
    <w:rsid w:val="00F1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paragraph" w:customStyle="1" w:styleId="LITlitera">
    <w:name w:val="LIT – litera"/>
    <w:basedOn w:val="Normalny"/>
    <w:uiPriority w:val="14"/>
    <w:qFormat/>
    <w:rsid w:val="00F14A58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1496</Words>
  <Characters>8976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10452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Kołtunowicz Dariusz</cp:lastModifiedBy>
  <cp:revision>14</cp:revision>
  <dcterms:created xsi:type="dcterms:W3CDTF">2019-11-05T15:06:00Z</dcterms:created>
  <dcterms:modified xsi:type="dcterms:W3CDTF">2019-12-10T16:12:00Z</dcterms:modified>
</cp:coreProperties>
</file>